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0" w:right="0" w:firstLine="567"/>
        <w:jc w:val="left"/>
        <w:rPr/>
      </w:pPr>
      <w:r>
        <w:rPr>
          <w:rFonts w:cs="Arial" w:ascii="Arial" w:hAnsi="Arial"/>
          <w:b/>
          <w:bCs/>
          <w:sz w:val="28"/>
          <w:szCs w:val="28"/>
          <w:lang w:eastAsia="en-US"/>
        </w:rPr>
        <w:tab/>
      </w:r>
    </w:p>
    <w:p>
      <w:pPr>
        <w:pStyle w:val="Normal"/>
        <w:bidi w:val="0"/>
        <w:spacing w:lineRule="auto" w:line="276" w:before="113" w:after="113"/>
        <w:ind w:left="0" w:right="0" w:firstLine="567"/>
        <w:jc w:val="center"/>
        <w:rPr/>
      </w:pPr>
      <w:r>
        <w:rPr>
          <w:rFonts w:cs="Arial" w:ascii="Arial" w:hAnsi="Arial"/>
          <w:b/>
          <w:bCs/>
          <w:sz w:val="44"/>
          <w:szCs w:val="44"/>
          <w:lang w:eastAsia="en-US"/>
        </w:rPr>
        <w:t>MEMORIAL DESCRITIVO</w:t>
      </w:r>
    </w:p>
    <w:p>
      <w:pPr>
        <w:pStyle w:val="Normal"/>
        <w:bidi w:val="0"/>
        <w:spacing w:lineRule="auto" w:line="276" w:before="113" w:after="113"/>
        <w:ind w:left="0" w:right="0" w:firstLine="567"/>
        <w:jc w:val="center"/>
        <w:rPr/>
      </w:pPr>
      <w:r>
        <w:rPr>
          <w:rFonts w:cs="Arial" w:ascii="Arial" w:hAnsi="Arial"/>
          <w:b/>
          <w:bCs/>
          <w:sz w:val="44"/>
          <w:szCs w:val="44"/>
          <w:lang w:eastAsia="en-US"/>
        </w:rPr>
        <w:t xml:space="preserve"> </w:t>
      </w:r>
    </w:p>
    <w:p>
      <w:pPr>
        <w:pStyle w:val="Normal"/>
        <w:bidi w:val="0"/>
        <w:spacing w:lineRule="auto" w:line="276" w:before="113" w:after="113"/>
        <w:ind w:left="0" w:right="0" w:firstLine="567"/>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bidi w:val="0"/>
        <w:spacing w:lineRule="auto" w:line="276" w:before="113" w:after="113"/>
        <w:ind w:left="0" w:right="0" w:firstLine="567"/>
        <w:jc w:val="center"/>
        <w:rPr/>
      </w:pPr>
      <w:r>
        <w:rPr>
          <w:rFonts w:eastAsia="Calibri" w:cs="Arial" w:ascii="Arial" w:hAnsi="Arial"/>
          <w:b/>
          <w:sz w:val="28"/>
          <w:szCs w:val="28"/>
          <w:lang w:eastAsia="en-US"/>
        </w:rPr>
        <w:t>DEVOLUÇÃO DE CASA ALUGADA - CEMESPI</w:t>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pPr>
      <w:r>
        <w:rPr>
          <w:rFonts w:cs="Arial" w:ascii="Arial" w:hAnsi="Arial"/>
          <w:b/>
          <w:bCs/>
          <w:lang w:eastAsia="en-US"/>
        </w:rPr>
        <w:t>DEZEMBRO</w:t>
      </w:r>
      <w:r>
        <w:rPr>
          <w:rFonts w:cs="Arial" w:ascii="Arial" w:hAnsi="Arial"/>
          <w:b/>
          <w:bCs/>
          <w:lang w:eastAsia="en-US"/>
        </w:rPr>
        <w:t>/2017</w:t>
      </w:r>
      <w:r>
        <w:br w:type="page"/>
      </w:r>
    </w:p>
    <w:p>
      <w:pPr>
        <w:pStyle w:val="Normal"/>
        <w:bidi w:val="0"/>
        <w:spacing w:lineRule="auto" w:line="276" w:before="113" w:after="113"/>
        <w:ind w:left="0" w:right="0" w:firstLine="567"/>
        <w:jc w:val="left"/>
        <w:rPr/>
      </w:pPr>
      <w:r>
        <w:rPr/>
      </w:r>
    </w:p>
    <w:p>
      <w:pPr>
        <w:pStyle w:val="Ttulo1"/>
        <w:bidi w:val="0"/>
        <w:spacing w:lineRule="auto" w:line="276" w:before="113" w:after="113"/>
        <w:ind w:left="0" w:right="0"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0" w:right="0" w:firstLine="567"/>
        <w:jc w:val="left"/>
        <w:rPr/>
      </w:pPr>
      <w:r>
        <w:rPr>
          <w:rFonts w:cs="Arial" w:ascii="Arial" w:hAnsi="Arial"/>
          <w:sz w:val="28"/>
        </w:rPr>
        <w:t>OBJETO</w:t>
      </w:r>
    </w:p>
    <w:p>
      <w:pPr>
        <w:pStyle w:val="Normal"/>
        <w:bidi w:val="0"/>
        <w:spacing w:lineRule="auto" w:line="276" w:before="113" w:after="113"/>
        <w:ind w:left="0" w:right="0" w:firstLine="567"/>
        <w:jc w:val="both"/>
        <w:rPr/>
      </w:pPr>
      <w:r>
        <w:rPr>
          <w:rFonts w:cs="Arial" w:ascii="Arial" w:hAnsi="Arial"/>
          <w:sz w:val="22"/>
          <w:szCs w:val="22"/>
        </w:rPr>
        <w:t xml:space="preserve">O presente Memorial Descritivo é parte integrante do projeto básico referente ao objeto: </w:t>
      </w:r>
      <w:r>
        <w:rPr>
          <w:rFonts w:cs="Arial" w:ascii="Arial" w:hAnsi="Arial"/>
          <w:b/>
          <w:bCs/>
          <w:sz w:val="22"/>
          <w:szCs w:val="22"/>
        </w:rPr>
        <w:t>Devolução de Casa Alugada do CEMESPI</w:t>
      </w:r>
      <w:r>
        <w:rPr>
          <w:rFonts w:cs="Arial" w:ascii="Arial" w:hAnsi="Arial"/>
          <w:b/>
          <w:bCs/>
          <w:sz w:val="22"/>
          <w:szCs w:val="22"/>
        </w:rPr>
        <w:t xml:space="preserve"> lo</w:t>
      </w:r>
      <w:r>
        <w:rPr>
          <w:rFonts w:cs="Arial" w:ascii="Arial" w:hAnsi="Arial"/>
          <w:b/>
          <w:sz w:val="22"/>
          <w:szCs w:val="22"/>
        </w:rPr>
        <w:t xml:space="preserve">calizado na Rua </w:t>
      </w:r>
      <w:r>
        <w:rPr>
          <w:rFonts w:cs="Arial" w:ascii="Arial" w:hAnsi="Arial"/>
          <w:b/>
          <w:sz w:val="22"/>
          <w:szCs w:val="22"/>
        </w:rPr>
        <w:t>Alfredo Trompowski</w:t>
      </w:r>
      <w:r>
        <w:rPr>
          <w:rFonts w:cs="Arial" w:ascii="Arial" w:hAnsi="Arial"/>
          <w:b/>
          <w:sz w:val="22"/>
          <w:szCs w:val="22"/>
        </w:rPr>
        <w:t>, n° 4</w:t>
      </w:r>
      <w:r>
        <w:rPr>
          <w:rFonts w:cs="Arial" w:ascii="Arial" w:hAnsi="Arial"/>
          <w:b/>
          <w:sz w:val="22"/>
          <w:szCs w:val="22"/>
        </w:rPr>
        <w:t>85</w:t>
      </w:r>
      <w:r>
        <w:rPr>
          <w:rFonts w:cs="Arial" w:ascii="Arial" w:hAnsi="Arial"/>
          <w:b/>
          <w:sz w:val="22"/>
          <w:szCs w:val="22"/>
        </w:rPr>
        <w:t xml:space="preserve">, </w:t>
      </w:r>
      <w:r>
        <w:rPr>
          <w:rFonts w:cs="Arial" w:ascii="Arial" w:hAnsi="Arial"/>
          <w:b/>
          <w:sz w:val="22"/>
          <w:szCs w:val="22"/>
        </w:rPr>
        <w:t>Vila Operária</w:t>
      </w:r>
      <w:r>
        <w:rPr>
          <w:rFonts w:cs="Arial" w:ascii="Arial" w:hAnsi="Arial"/>
          <w:b/>
          <w:sz w:val="22"/>
          <w:szCs w:val="22"/>
        </w:rPr>
        <w:t>, CEP 883</w:t>
      </w:r>
      <w:r>
        <w:rPr>
          <w:rFonts w:cs="Arial" w:ascii="Arial" w:hAnsi="Arial"/>
          <w:b/>
          <w:sz w:val="22"/>
          <w:szCs w:val="22"/>
        </w:rPr>
        <w:t>03</w:t>
      </w:r>
      <w:r>
        <w:rPr>
          <w:rFonts w:cs="Arial" w:ascii="Arial" w:hAnsi="Arial"/>
          <w:b/>
          <w:sz w:val="22"/>
          <w:szCs w:val="22"/>
        </w:rPr>
        <w:t>-</w:t>
      </w:r>
      <w:r>
        <w:rPr>
          <w:rFonts w:cs="Arial" w:ascii="Arial" w:hAnsi="Arial"/>
          <w:b/>
          <w:sz w:val="22"/>
          <w:szCs w:val="22"/>
        </w:rPr>
        <w:t>140</w:t>
      </w:r>
      <w:r>
        <w:rPr>
          <w:rFonts w:cs="Arial" w:ascii="Arial" w:hAnsi="Arial"/>
          <w:b/>
          <w:sz w:val="22"/>
          <w:szCs w:val="22"/>
        </w:rPr>
        <w:t>, Itajaí/SC.</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113" w:after="113"/>
              <w:ind w:left="0" w:right="0" w:firstLine="567"/>
              <w:jc w:val="center"/>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22"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22"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940,8</w:t>
            </w:r>
            <w:r>
              <w:rPr>
                <w:rFonts w:cs="Arial" w:ascii="Arial" w:hAnsi="Arial"/>
                <w:sz w:val="22"/>
                <w:szCs w:val="22"/>
              </w:rPr>
              <w:t>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 xml:space="preserve">Térreo </w:t>
            </w:r>
            <w:r>
              <w:rPr>
                <w:rFonts w:cs="Arial" w:ascii="Arial" w:hAnsi="Arial"/>
                <w:sz w:val="22"/>
                <w:szCs w:val="22"/>
              </w:rPr>
              <w:t>e Superior</w:t>
            </w:r>
          </w:p>
        </w:tc>
      </w:tr>
    </w:tbl>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sz w:val="28"/>
        </w:rPr>
        <w:t>DESCRIÇÃO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numPr>
          <w:ilvl w:val="0"/>
          <w:numId w:val="2"/>
        </w:numPr>
        <w:tabs>
          <w:tab w:val="left" w:pos="851" w:leader="none"/>
        </w:tabs>
        <w:spacing w:lineRule="auto" w:line="276" w:before="0" w:after="120"/>
        <w:jc w:val="both"/>
        <w:rPr/>
      </w:pPr>
      <w:r>
        <w:rPr>
          <w:rFonts w:cs="Arial" w:ascii="Arial" w:hAnsi="Arial"/>
          <w:sz w:val="22"/>
          <w:szCs w:val="22"/>
        </w:rPr>
        <w:t xml:space="preserve">Como se trata de uma unidade alugada, e esta deve ser devolvida ao proprietário, algumas reformas e reparos necessitam ser realizados, pois a mesma encontra-se desgastada com o passar dos anos, sendo caracterizada como reforma geral da unidade. </w:t>
      </w:r>
    </w:p>
    <w:p>
      <w:pPr>
        <w:pStyle w:val="Normal"/>
        <w:numPr>
          <w:ilvl w:val="0"/>
          <w:numId w:val="2"/>
        </w:numPr>
        <w:tabs>
          <w:tab w:val="left" w:pos="851" w:leader="none"/>
        </w:tabs>
        <w:spacing w:lineRule="auto" w:line="276" w:before="0" w:after="120"/>
        <w:jc w:val="both"/>
        <w:rPr/>
      </w:pPr>
      <w:r>
        <w:rPr>
          <w:rFonts w:cs="Arial" w:ascii="Arial" w:hAnsi="Arial"/>
          <w:sz w:val="22"/>
          <w:szCs w:val="22"/>
        </w:rPr>
        <w:t>Divisórias, telas, equipamentos elétricos, entre outros devem ser retirados do local, e alguns transferidos à nova unidade do CEMESPI.</w:t>
      </w:r>
    </w:p>
    <w:p>
      <w:pPr>
        <w:pStyle w:val="Normal"/>
        <w:numPr>
          <w:ilvl w:val="0"/>
          <w:numId w:val="2"/>
        </w:numPr>
        <w:tabs>
          <w:tab w:val="left" w:pos="851" w:leader="none"/>
        </w:tabs>
        <w:spacing w:lineRule="auto" w:line="276" w:before="0" w:after="120"/>
        <w:jc w:val="both"/>
        <w:rPr/>
      </w:pPr>
      <w:r>
        <w:rPr>
          <w:rFonts w:cs="Arial" w:ascii="Arial" w:hAnsi="Arial"/>
          <w:sz w:val="22"/>
          <w:szCs w:val="22"/>
        </w:rPr>
        <w:t xml:space="preserve">Os pisos, azulejos, rodapés e gessos que estão quebrados/soltos serão substituídos/reparados. </w:t>
      </w:r>
    </w:p>
    <w:p>
      <w:pPr>
        <w:pStyle w:val="Normal"/>
        <w:numPr>
          <w:ilvl w:val="0"/>
          <w:numId w:val="2"/>
        </w:numPr>
        <w:tabs>
          <w:tab w:val="left" w:pos="851" w:leader="none"/>
        </w:tabs>
        <w:spacing w:lineRule="auto" w:line="276" w:before="0" w:after="120"/>
        <w:jc w:val="both"/>
        <w:rPr/>
      </w:pPr>
      <w:r>
        <w:rPr>
          <w:rFonts w:cs="Arial" w:ascii="Arial" w:hAnsi="Arial"/>
          <w:sz w:val="22"/>
          <w:szCs w:val="22"/>
        </w:rPr>
        <w:t>Alguns equipamentos, que foram retirados para a melhor adequação da unidade de ensino, devem ser reinstalados ou remontados.</w:t>
      </w:r>
    </w:p>
    <w:p>
      <w:pPr>
        <w:pStyle w:val="Normal"/>
        <w:numPr>
          <w:ilvl w:val="0"/>
          <w:numId w:val="2"/>
        </w:numPr>
        <w:tabs>
          <w:tab w:val="left" w:pos="851" w:leader="none"/>
        </w:tabs>
        <w:spacing w:lineRule="auto" w:line="276" w:before="0" w:after="120"/>
        <w:jc w:val="both"/>
        <w:rPr/>
      </w:pPr>
      <w:r>
        <w:rPr>
          <w:rFonts w:cs="Arial" w:ascii="Arial" w:hAnsi="Arial"/>
          <w:sz w:val="22"/>
          <w:szCs w:val="22"/>
        </w:rPr>
        <w:t>A pintura deve ser realizada em toda parte interna e externa da casa, conforme estava antes do CEMESPI instalar-se no local.</w:t>
      </w:r>
    </w:p>
    <w:p>
      <w:pPr>
        <w:pStyle w:val="Normal"/>
        <w:widowControl/>
        <w:tabs>
          <w:tab w:val="left" w:pos="0" w:leader="none"/>
        </w:tabs>
        <w:bidi w:val="0"/>
        <w:spacing w:lineRule="auto" w:line="276" w:before="0" w:after="120"/>
        <w:ind w:left="0" w:right="0" w:firstLine="567"/>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bidi w:val="0"/>
        <w:spacing w:lineRule="auto" w:line="276" w:before="113" w:after="113"/>
        <w:ind w:left="0" w:right="0" w:firstLine="567"/>
        <w:jc w:val="both"/>
        <w:rPr/>
      </w:pPr>
      <w:r>
        <w:rPr>
          <w:rFonts w:cs="Arial" w:ascii="Arial" w:hAnsi="Arial"/>
          <w:sz w:val="22"/>
          <w:szCs w:val="22"/>
        </w:rPr>
        <w:t xml:space="preserve"> </w:t>
      </w:r>
    </w:p>
    <w:p>
      <w:pPr>
        <w:pStyle w:val="Normal"/>
        <w:bidi w:val="0"/>
        <w:spacing w:lineRule="auto" w:line="276" w:before="113" w:after="113"/>
        <w:ind w:left="0" w:right="0" w:firstLine="567"/>
        <w:jc w:val="left"/>
        <w:rPr/>
      </w:pPr>
      <w:r>
        <w:rPr>
          <w:rFonts w:cs="Arial" w:ascii="Arial" w:hAnsi="Arial"/>
          <w:sz w:val="28"/>
        </w:rPr>
        <w:t>RESPONSABILIDADE, GARANTIA E RESPEITO AO PROJETO</w:t>
      </w:r>
    </w:p>
    <w:p>
      <w:pPr>
        <w:pStyle w:val="Normal"/>
        <w:bidi w:val="0"/>
        <w:spacing w:lineRule="auto" w:line="276" w:before="113" w:after="113"/>
        <w:ind w:left="0" w:right="0" w:firstLine="567"/>
        <w:jc w:val="both"/>
        <w:rPr/>
      </w:pPr>
      <w:r>
        <w:rPr>
          <w:rFonts w:cs="Arial" w:ascii="Arial" w:hAnsi="Arial"/>
          <w:sz w:val="22"/>
          <w:szCs w:val="22"/>
        </w:rPr>
        <w:t xml:space="preserve">O presente memorial tem por objetivo estabelecer os requisitos, condições técnicas e administrativas que </w:t>
      </w:r>
      <w:r>
        <w:rPr>
          <w:rFonts w:cs="Arial" w:ascii="Arial" w:hAnsi="Arial"/>
          <w:sz w:val="22"/>
          <w:szCs w:val="22"/>
        </w:rPr>
        <w:t>regerão</w:t>
      </w:r>
      <w:r>
        <w:rPr>
          <w:rFonts w:cs="Arial" w:ascii="Arial" w:hAnsi="Arial"/>
          <w:sz w:val="22"/>
          <w:szCs w:val="22"/>
        </w:rPr>
        <w:t xml:space="preserve">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0" w:right="0"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sz w:val="28"/>
        </w:rPr>
        <w:t>FISCALIZAÇÃO</w:t>
      </w:r>
    </w:p>
    <w:p>
      <w:pPr>
        <w:pStyle w:val="Normal"/>
        <w:bidi w:val="0"/>
        <w:spacing w:lineRule="auto" w:line="276" w:before="113" w:after="113"/>
        <w:ind w:left="0" w:right="0"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left"/>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left"/>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left"/>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center"/>
        <w:rPr>
          <w:rFonts w:cs="Arial"/>
          <w:b w:val="false"/>
          <w:b w:val="false"/>
          <w:bCs/>
          <w:color w:val="00000A"/>
        </w:rPr>
      </w:pPr>
      <w:r>
        <w:rPr>
          <w:rFonts w:cs="Arial"/>
          <w:b w:val="false"/>
          <w:bCs/>
          <w:color w:val="00000A"/>
        </w:rPr>
      </w:r>
    </w:p>
    <w:p>
      <w:pPr>
        <w:pStyle w:val="Ttulo1"/>
        <w:bidi w:val="0"/>
        <w:spacing w:lineRule="auto" w:line="276" w:before="113" w:after="113"/>
        <w:ind w:left="0" w:right="0" w:firstLine="567"/>
        <w:jc w:val="center"/>
        <w:rPr/>
      </w:pPr>
      <w:bookmarkStart w:id="1" w:name="_Toc176231961"/>
      <w:bookmarkEnd w:id="1"/>
      <w:r>
        <w:rPr>
          <w:rFonts w:cs="Arial"/>
          <w:b w:val="false"/>
          <w:bCs/>
          <w:color w:val="00000A"/>
        </w:rPr>
        <w:t>B - DISPOSIÇÕES GERAIS</w:t>
      </w:r>
    </w:p>
    <w:p>
      <w:pPr>
        <w:pStyle w:val="Normal"/>
        <w:bidi w:val="0"/>
        <w:spacing w:lineRule="auto" w:line="276" w:before="113" w:after="113"/>
        <w:ind w:left="0" w:right="0" w:firstLine="567"/>
        <w:jc w:val="both"/>
        <w:rPr/>
      </w:pPr>
      <w:r>
        <w:rPr>
          <w:rFonts w:cs="Arial" w:ascii="Arial" w:hAnsi="Arial"/>
          <w:sz w:val="24"/>
        </w:rPr>
        <w:tab/>
      </w:r>
    </w:p>
    <w:p>
      <w:pPr>
        <w:pStyle w:val="Normal"/>
        <w:bidi w:val="0"/>
        <w:spacing w:lineRule="auto" w:line="276" w:before="113" w:after="113"/>
        <w:ind w:left="0" w:right="0"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0" w:right="0" w:firstLine="567"/>
        <w:jc w:val="both"/>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0" w:right="0" w:firstLine="567"/>
        <w:jc w:val="both"/>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0" w:right="0" w:firstLine="567"/>
        <w:jc w:val="both"/>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0" w:right="0" w:firstLine="567"/>
        <w:jc w:val="both"/>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0" w:right="0" w:firstLine="567"/>
        <w:jc w:val="both"/>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0" w:right="0" w:firstLine="567"/>
        <w:jc w:val="both"/>
        <w:rPr/>
      </w:pPr>
      <w:r>
        <w:rPr>
          <w:rFonts w:cs="Arial" w:ascii="Arial" w:hAnsi="Arial"/>
          <w:sz w:val="22"/>
          <w:szCs w:val="22"/>
        </w:rPr>
        <w:t>- altura de vigas, especialmente em escadas, com vistas ao trânsito de pessoas.</w:t>
      </w:r>
    </w:p>
    <w:p>
      <w:pPr>
        <w:pStyle w:val="Normal"/>
        <w:bidi w:val="0"/>
        <w:spacing w:lineRule="auto" w:line="276" w:before="113" w:after="113"/>
        <w:ind w:left="0" w:right="0"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AMOSTRAS E CRITÉRIOS DE ANALOGIA</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pPr>
      <w:r>
        <w:rPr>
          <w:rFonts w:cs="Arial" w:ascii="Arial" w:hAnsi="Arial"/>
          <w:sz w:val="24"/>
          <w:szCs w:val="24"/>
        </w:rPr>
        <w:t>INSTALAÇÃO E ADMINISTRAÇÃO DA OBRA</w:t>
      </w:r>
    </w:p>
    <w:p>
      <w:pPr>
        <w:pStyle w:val="Normal"/>
        <w:bidi w:val="0"/>
        <w:spacing w:lineRule="auto" w:line="276" w:before="113" w:after="113"/>
        <w:ind w:left="0" w:right="0" w:firstLine="567"/>
        <w:jc w:val="both"/>
        <w:rPr/>
      </w:pPr>
      <w:r>
        <w:rPr>
          <w:rFonts w:cs="Arial" w:ascii="Arial" w:hAnsi="Arial"/>
          <w:sz w:val="22"/>
          <w:szCs w:val="22"/>
        </w:rPr>
        <w:t>ADMINISTRAÇÃO DE OBRA</w:t>
      </w:r>
    </w:p>
    <w:p>
      <w:pPr>
        <w:pStyle w:val="Normal"/>
        <w:bidi w:val="0"/>
        <w:spacing w:lineRule="auto" w:line="276" w:before="113" w:after="113"/>
        <w:ind w:left="0" w:right="0"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pPr>
      <w:r>
        <w:rPr>
          <w:rFonts w:cs="Arial" w:ascii="Arial" w:hAnsi="Arial"/>
          <w:b/>
          <w:sz w:val="22"/>
          <w:szCs w:val="22"/>
        </w:rPr>
        <w:t>Seguros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3"/>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Seguro de Risco de Engenharia;</w:t>
      </w:r>
    </w:p>
    <w:p>
      <w:pPr>
        <w:pStyle w:val="ListParagraph"/>
        <w:numPr>
          <w:ilvl w:val="0"/>
          <w:numId w:val="3"/>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3"/>
        </w:numPr>
        <w:tabs>
          <w:tab w:val="left" w:pos="0" w:leader="none"/>
          <w:tab w:val="left" w:pos="1134" w:leader="none"/>
        </w:tabs>
        <w:overflowPunct w:val="true"/>
        <w:bidi w:val="0"/>
        <w:spacing w:lineRule="auto" w:line="480" w:before="113" w:after="113"/>
        <w:ind w:left="0" w:right="0"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true"/>
        <w:bidi w:val="0"/>
        <w:spacing w:lineRule="auto" w:line="240" w:before="113" w:after="113"/>
        <w:ind w:left="0" w:right="0"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Em todos os itens da obra,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b/>
          <w:b/>
          <w:sz w:val="22"/>
          <w:szCs w:val="22"/>
        </w:rPr>
      </w:pPr>
      <w:r>
        <w:rPr/>
      </w:r>
    </w:p>
    <w:p>
      <w:pPr>
        <w:pStyle w:val="Normal"/>
        <w:bidi w:val="0"/>
        <w:spacing w:lineRule="auto" w:line="276" w:before="113" w:after="113"/>
        <w:ind w:left="0" w:right="0" w:firstLine="567"/>
        <w:jc w:val="both"/>
        <w:rPr/>
      </w:pPr>
      <w:r>
        <w:rPr>
          <w:rFonts w:cs="Arial" w:ascii="Arial" w:hAnsi="Arial"/>
          <w:sz w:val="22"/>
          <w:szCs w:val="22"/>
        </w:rPr>
        <w:t>FERRAMENTAS E EQUIPAMENTOS</w:t>
      </w:r>
    </w:p>
    <w:p>
      <w:pPr>
        <w:pStyle w:val="Normal"/>
        <w:bidi w:val="0"/>
        <w:spacing w:lineRule="auto" w:line="276" w:before="113" w:after="113"/>
        <w:ind w:left="0" w:right="0"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DESMOBILIZAÇÃO</w:t>
      </w:r>
    </w:p>
    <w:p>
      <w:pPr>
        <w:pStyle w:val="Normal"/>
        <w:bidi w:val="0"/>
        <w:spacing w:lineRule="auto" w:line="276" w:before="113" w:after="113"/>
        <w:ind w:left="0" w:right="0"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Ttulo1"/>
        <w:bidi w:val="0"/>
        <w:spacing w:lineRule="auto" w:line="276" w:before="113" w:after="113"/>
        <w:ind w:left="0" w:right="0" w:firstLine="567"/>
        <w:jc w:val="center"/>
        <w:rPr/>
      </w:pPr>
      <w:bookmarkStart w:id="2" w:name="_Toc176231962"/>
      <w:bookmarkEnd w:id="2"/>
      <w:r>
        <w:rPr>
          <w:rFonts w:cs="Arial"/>
          <w:b w:val="false"/>
          <w:bCs/>
          <w:color w:val="00000A"/>
        </w:rPr>
        <w:t>C - MEMORIAL DESCRITIVO</w:t>
      </w:r>
    </w:p>
    <w:p>
      <w:pPr>
        <w:pStyle w:val="Style11"/>
        <w:bidi w:val="0"/>
        <w:spacing w:lineRule="auto" w:line="276" w:before="113" w:after="113"/>
        <w:ind w:left="0" w:right="0" w:firstLine="567"/>
        <w:jc w:val="left"/>
        <w:rPr/>
      </w:pPr>
      <w:r>
        <w:rPr>
          <w:rFonts w:cs="Arial" w:ascii="Arial" w:hAnsi="Arial"/>
          <w:sz w:val="22"/>
          <w:szCs w:val="22"/>
        </w:rPr>
        <w:t xml:space="preserve"> </w:t>
      </w:r>
    </w:p>
    <w:p>
      <w:pPr>
        <w:pStyle w:val="Style11"/>
        <w:bidi w:val="0"/>
        <w:spacing w:lineRule="auto" w:line="276" w:before="113" w:after="113"/>
        <w:ind w:left="0" w:right="0" w:firstLine="567"/>
        <w:jc w:val="left"/>
        <w:rPr/>
      </w:pPr>
      <w:r>
        <w:rPr>
          <w:rFonts w:cs="Arial" w:ascii="Arial" w:hAnsi="Arial"/>
          <w:b/>
          <w:sz w:val="22"/>
          <w:szCs w:val="22"/>
        </w:rPr>
        <w:t>SERVIÇOS INICIAIS</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0" w:right="0" w:firstLine="567"/>
        <w:jc w:val="left"/>
        <w:rPr/>
      </w:pPr>
      <w:r>
        <w:rPr>
          <w:rFonts w:cs="Arial" w:ascii="Arial" w:hAnsi="Arial"/>
          <w:b/>
          <w:sz w:val="22"/>
          <w:szCs w:val="22"/>
        </w:rPr>
        <w:t>1</w:t>
      </w:r>
      <w:r>
        <w:rPr>
          <w:rFonts w:cs="Arial" w:ascii="Arial" w:hAnsi="Arial"/>
          <w:b/>
          <w:sz w:val="22"/>
          <w:szCs w:val="22"/>
        </w:rPr>
        <w:t xml:space="preserve"> DEMOLIÇÃO E REMOÇÃO</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Style11"/>
        <w:bidi w:val="0"/>
        <w:spacing w:lineRule="auto" w:line="276" w:before="113" w:after="113"/>
        <w:ind w:left="0" w:right="0"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0" w:right="0" w:firstLine="567"/>
        <w:jc w:val="both"/>
        <w:rPr/>
      </w:pP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0" w:right="0" w:firstLine="567"/>
        <w:jc w:val="both"/>
        <w:rPr/>
      </w:pPr>
      <w:r>
        <w:rPr>
          <w:rFonts w:cs="Arial" w:ascii="Arial" w:hAnsi="Arial"/>
          <w:b w:val="false"/>
          <w:bCs w:val="false"/>
          <w:sz w:val="22"/>
          <w:szCs w:val="22"/>
        </w:rPr>
        <w:t xml:space="preserve">Além da limpeza completa do local de forma mecanizada, inclusive a retirada das raízes existentes, fica a cargo da CONTRATADA também a remoção do material com destino final do mesmo em bota-fora devidamente licenciado. Os caminhões para transporte do material terão lonas ou dispositivo de segurança que possibilite a cobertura do material transportado até o destino final, de modo a evitar o derramamento ou a queda. A </w:t>
      </w:r>
      <w:r>
        <w:rPr>
          <w:rFonts w:cs="Arial" w:ascii="Arial" w:hAnsi="Arial"/>
          <w:b w:val="false"/>
          <w:bCs w:val="false"/>
          <w:sz w:val="22"/>
          <w:szCs w:val="22"/>
        </w:rPr>
        <w:t>c</w:t>
      </w:r>
      <w:r>
        <w:rPr>
          <w:rFonts w:cs="Arial" w:ascii="Arial" w:hAnsi="Arial"/>
          <w:b w:val="false"/>
          <w:bCs w:val="false"/>
          <w:sz w:val="22"/>
          <w:szCs w:val="22"/>
        </w:rPr>
        <w:t>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cs="Arial"/>
        </w:rPr>
      </w:pPr>
      <w:r>
        <w:rPr>
          <w:rFonts w:cs="Arial"/>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2</w:t>
      </w:r>
      <w:r>
        <w:rPr>
          <w:rStyle w:val="CharacterStyle2"/>
          <w:rFonts w:cs="Arial" w:ascii="Arial" w:hAnsi="Arial"/>
          <w:b/>
          <w:i w:val="false"/>
          <w:iCs w:val="false"/>
          <w:spacing w:val="2"/>
          <w:sz w:val="22"/>
          <w:szCs w:val="22"/>
        </w:rPr>
        <w:t xml:space="preserve"> REVESTIMENTO</w:t>
      </w:r>
    </w:p>
    <w:p>
      <w:pPr>
        <w:pStyle w:val="Style8"/>
        <w:bidi w:val="0"/>
        <w:spacing w:lineRule="auto" w:line="276" w:before="113" w:after="113"/>
        <w:ind w:left="0" w:right="0" w:firstLine="567"/>
        <w:jc w:val="left"/>
        <w:rPr>
          <w:rStyle w:val="CharacterStyle2"/>
          <w:rFonts w:ascii="Arial" w:hAnsi="Arial" w:cs="Arial"/>
          <w:b/>
          <w:b/>
          <w:i w:val="false"/>
          <w:i w:val="false"/>
          <w:iCs w:val="false"/>
          <w:spacing w:val="2"/>
          <w:sz w:val="22"/>
          <w:szCs w:val="22"/>
        </w:rPr>
      </w:pPr>
      <w:r>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pPr>
      <w:r>
        <w:rPr>
          <w:rFonts w:cs="Arial" w:ascii="Arial" w:hAnsi="Arial"/>
          <w:sz w:val="22"/>
          <w:szCs w:val="22"/>
        </w:rPr>
        <w:t xml:space="preserve">Nas ocasiões de temperatura elevada, os revestimentos externos executados na jornada de trabalho deverão ter suas </w:t>
      </w:r>
      <w:r>
        <w:rPr>
          <w:rFonts w:cs="Arial" w:ascii="Arial" w:hAnsi="Arial"/>
          <w:sz w:val="22"/>
          <w:szCs w:val="22"/>
        </w:rPr>
        <w:t>superfícies molhadas</w:t>
      </w:r>
      <w:r>
        <w:rPr>
          <w:rFonts w:cs="Arial" w:ascii="Arial" w:hAnsi="Arial"/>
          <w:sz w:val="22"/>
          <w:szCs w:val="22"/>
        </w:rPr>
        <w:t xml:space="preserve"> ao término desta.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3</w:t>
      </w:r>
      <w:r>
        <w:rPr>
          <w:rStyle w:val="CharacterStyle2"/>
          <w:rFonts w:cs="Arial" w:ascii="Arial" w:hAnsi="Arial"/>
          <w:b/>
          <w:i w:val="false"/>
          <w:iCs w:val="false"/>
          <w:spacing w:val="2"/>
          <w:sz w:val="22"/>
          <w:szCs w:val="22"/>
        </w:rPr>
        <w:t xml:space="preserve"> PAVIMENTAÇÃO</w:t>
      </w:r>
    </w:p>
    <w:p>
      <w:pPr>
        <w:pStyle w:val="Style8"/>
        <w:bidi w:val="0"/>
        <w:spacing w:lineRule="auto" w:line="276" w:before="113" w:after="113"/>
        <w:ind w:left="0" w:right="0" w:firstLine="567"/>
        <w:jc w:val="left"/>
        <w:rPr>
          <w:rStyle w:val="CharacterStyle2"/>
          <w:rFonts w:ascii="Arial" w:hAnsi="Arial" w:cs="Arial"/>
          <w:b/>
          <w:b/>
          <w:i w:val="false"/>
          <w:i w:val="false"/>
          <w:iCs w:val="false"/>
          <w:spacing w:val="2"/>
          <w:sz w:val="22"/>
          <w:szCs w:val="22"/>
        </w:rPr>
      </w:pPr>
      <w:r>
        <w:rPr/>
      </w:r>
    </w:p>
    <w:p>
      <w:pPr>
        <w:pStyle w:val="Normal"/>
        <w:bidi w:val="0"/>
        <w:spacing w:lineRule="auto" w:line="276" w:before="113" w:after="113"/>
        <w:ind w:left="0" w:right="0" w:firstLine="567"/>
        <w:jc w:val="both"/>
        <w:rPr/>
      </w:pPr>
      <w:r>
        <w:rPr>
          <w:rFonts w:cs="Arial" w:ascii="Arial" w:hAnsi="Arial"/>
          <w:sz w:val="22"/>
          <w:szCs w:val="22"/>
        </w:rPr>
        <w:t xml:space="preserve">O assentamento das peças será feito </w:t>
      </w:r>
      <w:r>
        <w:rPr>
          <w:rFonts w:cs="Arial" w:ascii="Arial" w:hAnsi="Arial"/>
          <w:iCs/>
          <w:sz w:val="22"/>
          <w:szCs w:val="22"/>
        </w:rPr>
        <w:t>seguindo obrigatoriamente as recomendações de assentamento do fabricante,</w:t>
      </w:r>
      <w:r>
        <w:rPr>
          <w:rFonts w:cs="Arial" w:ascii="Arial" w:hAnsi="Arial"/>
          <w:sz w:val="22"/>
          <w:szCs w:val="22"/>
        </w:rPr>
        <w:t xml:space="preserve"> de forma a deixar juntas perfeitamente alinhadas e de espessura mínima recomendada. </w:t>
      </w:r>
    </w:p>
    <w:p>
      <w:pPr>
        <w:pStyle w:val="Normal"/>
        <w:bidi w:val="0"/>
        <w:spacing w:lineRule="auto" w:line="276" w:before="113" w:after="113"/>
        <w:ind w:left="0" w:right="0" w:firstLine="567"/>
        <w:jc w:val="both"/>
        <w:rPr/>
      </w:pPr>
      <w:r>
        <w:rPr>
          <w:rFonts w:cs="Arial" w:ascii="Arial" w:hAnsi="Arial"/>
          <w:sz w:val="22"/>
          <w:szCs w:val="22"/>
        </w:rPr>
        <w:t xml:space="preserve">Caberá a CONTRATADA tomar os cuidados necessários para garantir que todos os </w:t>
      </w:r>
      <w:r>
        <w:rPr>
          <w:rFonts w:cs="Arial" w:ascii="Arial" w:hAnsi="Arial"/>
          <w:sz w:val="22"/>
          <w:szCs w:val="22"/>
        </w:rPr>
        <w:t xml:space="preserve">rodapés sejam reparados e </w:t>
      </w:r>
      <w:r>
        <w:rPr>
          <w:rFonts w:cs="Arial" w:ascii="Arial" w:hAnsi="Arial"/>
          <w:sz w:val="22"/>
          <w:szCs w:val="22"/>
        </w:rPr>
        <w:t>equiparar esteticamente</w:t>
      </w:r>
      <w:r>
        <w:rPr>
          <w:rFonts w:cs="Arial" w:ascii="Arial" w:hAnsi="Arial"/>
          <w:sz w:val="22"/>
          <w:szCs w:val="22"/>
        </w:rPr>
        <w:t xml:space="preserve"> conforme os já executados.</w:t>
      </w:r>
    </w:p>
    <w:p>
      <w:pPr>
        <w:pStyle w:val="Normal"/>
        <w:bidi w:val="0"/>
        <w:spacing w:lineRule="auto" w:line="276" w:before="113" w:after="113"/>
        <w:ind w:left="0" w:right="0" w:firstLine="567"/>
        <w:jc w:val="both"/>
        <w:rPr/>
      </w:pPr>
      <w:r>
        <w:rPr>
          <w:rFonts w:cs="Arial" w:ascii="Arial" w:hAnsi="Arial"/>
          <w:sz w:val="22"/>
          <w:szCs w:val="22"/>
        </w:rPr>
        <w:t>Deve estar previsto no orçamento uma sobra equivalente aos eventuais recortes/perdas de peças.</w:t>
      </w:r>
    </w:p>
    <w:p>
      <w:pPr>
        <w:pStyle w:val="Normal"/>
        <w:bidi w:val="0"/>
        <w:spacing w:lineRule="auto" w:line="276" w:before="113" w:after="113"/>
        <w:ind w:left="0" w:right="0" w:firstLine="567"/>
        <w:jc w:val="both"/>
        <w:rPr>
          <w:rFonts w:ascii="Arial" w:hAnsi="Arial" w:cs="Arial"/>
          <w:sz w:val="22"/>
          <w:szCs w:val="22"/>
        </w:rPr>
      </w:pPr>
      <w:r>
        <w:rPr/>
      </w:r>
    </w:p>
    <w:p>
      <w:pPr>
        <w:pStyle w:val="Normal"/>
        <w:bidi w:val="0"/>
        <w:spacing w:lineRule="auto" w:line="276" w:before="113" w:after="113"/>
        <w:ind w:left="0" w:right="0" w:firstLine="567"/>
        <w:jc w:val="both"/>
        <w:rPr/>
      </w:pPr>
      <w:r>
        <w:rPr>
          <w:rFonts w:cs="Arial" w:ascii="Arial" w:hAnsi="Arial"/>
          <w:b/>
          <w:bCs/>
          <w:i w:val="false"/>
          <w:iCs w:val="false"/>
          <w:sz w:val="22"/>
          <w:szCs w:val="22"/>
        </w:rPr>
        <w:t>4</w:t>
      </w:r>
      <w:r>
        <w:rPr>
          <w:rFonts w:cs="Arial" w:ascii="Arial" w:hAnsi="Arial"/>
          <w:b/>
          <w:bCs/>
          <w:i w:val="false"/>
          <w:iCs w:val="false"/>
          <w:sz w:val="22"/>
          <w:szCs w:val="22"/>
        </w:rPr>
        <w:t xml:space="preserve"> PINTURA</w:t>
      </w:r>
    </w:p>
    <w:p>
      <w:pPr>
        <w:pStyle w:val="Normal"/>
        <w:bidi w:val="0"/>
        <w:spacing w:lineRule="auto" w:line="276" w:before="113" w:after="113"/>
        <w:ind w:left="0" w:right="0" w:firstLine="567"/>
        <w:jc w:val="both"/>
        <w:rPr>
          <w:rFonts w:cs="Arial"/>
          <w:b/>
          <w:b/>
          <w:bCs/>
        </w:rPr>
      </w:pPr>
      <w:r>
        <w:rPr>
          <w:rFonts w:cs="Arial"/>
          <w:b/>
          <w:bCs/>
        </w:rPr>
      </w:r>
    </w:p>
    <w:p>
      <w:pPr>
        <w:pStyle w:val="Normal"/>
        <w:bidi w:val="0"/>
        <w:spacing w:lineRule="auto" w:line="276" w:before="113" w:after="113"/>
        <w:ind w:left="0" w:right="0" w:firstLine="567"/>
        <w:jc w:val="both"/>
        <w:rPr/>
      </w:pPr>
      <w:r>
        <w:rPr>
          <w:rFonts w:cs="Arial" w:ascii="Arial" w:hAnsi="Arial"/>
          <w:sz w:val="22"/>
          <w:szCs w:val="22"/>
        </w:rPr>
        <w:t xml:space="preserve">As paredes internas, externas serão pintadas com tinta acrílica de qualidade, a ser aferida pela fiscalização, em duas demãos. </w:t>
      </w:r>
      <w:r>
        <w:rPr>
          <w:rFonts w:cs="Arial" w:ascii="Arial" w:hAnsi="Arial"/>
          <w:sz w:val="22"/>
          <w:szCs w:val="22"/>
        </w:rPr>
        <w:t>As cores devem ser semelhantes ao já existente.</w:t>
      </w:r>
      <w:r>
        <w:rPr>
          <w:rFonts w:cs="Arial" w:ascii="Arial" w:hAnsi="Arial"/>
          <w:sz w:val="22"/>
          <w:szCs w:val="22"/>
        </w:rPr>
        <w:t xml:space="preserve"> </w:t>
      </w:r>
    </w:p>
    <w:p>
      <w:pPr>
        <w:pStyle w:val="Normal"/>
        <w:bidi w:val="0"/>
        <w:spacing w:lineRule="auto" w:line="276" w:before="113" w:after="113"/>
        <w:ind w:left="0" w:right="0" w:firstLine="567"/>
        <w:jc w:val="both"/>
        <w:rPr/>
      </w:pPr>
      <w:r>
        <w:rPr>
          <w:rFonts w:cs="Arial" w:ascii="Arial" w:hAnsi="Arial"/>
          <w:i w:val="false"/>
          <w:iCs w:val="false"/>
          <w:sz w:val="22"/>
          <w:szCs w:val="22"/>
        </w:rPr>
        <w:t>O</w:t>
      </w:r>
      <w:r>
        <w:rPr>
          <w:rFonts w:cs="Arial" w:ascii="Arial" w:hAnsi="Arial"/>
          <w:i w:val="false"/>
          <w:iCs w:val="false"/>
          <w:sz w:val="22"/>
          <w:szCs w:val="22"/>
        </w:rPr>
        <w:t xml:space="preserve"> estudo bem como a disposição das cores em volumes e estruturas será definido com a fiscalização de obras antes do início dos serviços de pintura. </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w:t>
      </w:r>
    </w:p>
    <w:p>
      <w:pPr>
        <w:pStyle w:val="Normal"/>
        <w:bidi w:val="0"/>
        <w:spacing w:lineRule="auto" w:line="276" w:before="113" w:after="113"/>
        <w:ind w:left="0" w:right="0"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rFonts w:ascii="Arial" w:hAnsi="Arial" w:cs="Arial"/>
          <w:sz w:val="22"/>
          <w:szCs w:val="22"/>
        </w:rPr>
      </w:pPr>
      <w:r>
        <w:rPr/>
      </w:r>
    </w:p>
    <w:p>
      <w:pPr>
        <w:pStyle w:val="Normal"/>
        <w:bidi w:val="0"/>
        <w:spacing w:lineRule="auto" w:line="276" w:before="113" w:after="113"/>
        <w:ind w:left="0" w:right="0" w:firstLine="567"/>
        <w:jc w:val="both"/>
        <w:rPr/>
      </w:pPr>
      <w:r>
        <w:rPr>
          <w:rFonts w:cs="Arial" w:ascii="Arial" w:hAnsi="Arial"/>
          <w:b/>
          <w:sz w:val="22"/>
          <w:szCs w:val="22"/>
        </w:rPr>
        <w:t>5</w:t>
      </w:r>
      <w:r>
        <w:rPr>
          <w:rFonts w:cs="Arial" w:ascii="Arial" w:hAnsi="Arial"/>
          <w:b/>
          <w:sz w:val="22"/>
          <w:szCs w:val="22"/>
        </w:rPr>
        <w:t xml:space="preserve"> INSTALAÇÕES ELÉTRICAS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Todos os materiais a serem empregados deverão atender às prescrições das Normas Brasileiras da ABNT que lhes forem cabíveis. Todos os materiais deverão ser de primeira qualidade e primeiro uso. </w:t>
      </w:r>
    </w:p>
    <w:p>
      <w:pPr>
        <w:pStyle w:val="Normal"/>
        <w:bidi w:val="0"/>
        <w:spacing w:lineRule="auto" w:line="276" w:before="113" w:after="113"/>
        <w:ind w:left="0" w:right="0" w:firstLine="567"/>
        <w:jc w:val="both"/>
        <w:rPr/>
      </w:pPr>
      <w:r>
        <w:rPr>
          <w:rFonts w:cs="Arial" w:ascii="Arial" w:hAnsi="Arial"/>
          <w:sz w:val="22"/>
          <w:szCs w:val="22"/>
        </w:rPr>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pPr>
        <w:pStyle w:val="Normal"/>
        <w:bidi w:val="0"/>
        <w:spacing w:lineRule="auto" w:line="276" w:before="113" w:after="113"/>
        <w:ind w:left="0" w:right="0" w:firstLine="567"/>
        <w:jc w:val="both"/>
        <w:rPr/>
      </w:pPr>
      <w:r>
        <w:rPr>
          <w:rFonts w:cs="Arial" w:ascii="Arial" w:hAnsi="Arial"/>
          <w:sz w:val="22"/>
          <w:szCs w:val="22"/>
        </w:rPr>
        <w:t>Todos os serviços deverão utilizar mão-de-obra de alto padrão técnico, não sendo permitido o emprego de profissionais desconhecedores da boa técnica e da segurança.</w:t>
      </w:r>
    </w:p>
    <w:p>
      <w:pPr>
        <w:pStyle w:val="Normal"/>
        <w:bidi w:val="0"/>
        <w:spacing w:lineRule="auto" w:line="276" w:before="113" w:after="113"/>
        <w:ind w:left="0" w:right="0" w:firstLine="567"/>
        <w:jc w:val="both"/>
        <w:rPr/>
      </w:pPr>
      <w:r>
        <w:rPr>
          <w:rFonts w:cs="Arial" w:ascii="Arial" w:hAnsi="Arial"/>
          <w:sz w:val="22"/>
          <w:szCs w:val="22"/>
        </w:rPr>
        <w:t>Os materiais básicos componentes como aparelhos e equipamentos a serem instalados, deverão atender aos padrões de fabricação e aos métodos de ensaio exigidos pela ABNT, assim como às especificações complementares da concessionária local.</w:t>
      </w:r>
    </w:p>
    <w:p>
      <w:pPr>
        <w:pStyle w:val="Normal"/>
        <w:bidi w:val="0"/>
        <w:spacing w:lineRule="auto" w:line="276" w:before="113" w:after="113"/>
        <w:ind w:left="0" w:right="0" w:firstLine="567"/>
        <w:jc w:val="both"/>
        <w:rPr/>
      </w:pPr>
      <w:r>
        <w:rPr>
          <w:rFonts w:cs="Arial" w:ascii="Arial" w:hAnsi="Arial"/>
          <w:sz w:val="22"/>
          <w:szCs w:val="22"/>
        </w:rPr>
        <w:t>As especificações dos materiais deverão ser seguidas rigorosamente. Cabe única e exclusivamente à Fiscalização aceitar ou não a similaridade dos materiais, marcas e fabricantes, que não estejam expressamente citados nestas especificações.</w:t>
      </w:r>
    </w:p>
    <w:p>
      <w:pPr>
        <w:pStyle w:val="Normal"/>
        <w:bidi w:val="0"/>
        <w:spacing w:lineRule="auto" w:line="276" w:before="113" w:after="113"/>
        <w:ind w:left="0" w:right="0" w:firstLine="567"/>
        <w:jc w:val="both"/>
        <w:rPr/>
      </w:pPr>
      <w:r>
        <w:rPr>
          <w:rFonts w:cs="Arial" w:ascii="Arial" w:hAnsi="Arial"/>
          <w:sz w:val="22"/>
          <w:szCs w:val="22"/>
        </w:rPr>
        <w:t xml:space="preserve">Também as especificações referentes a todos os serviços deverão ser seguidas rigidamente e complementadas pelo que está prescrito nas Normas Brasileiras pertinentes, no caso de eventual omissão. </w:t>
      </w:r>
    </w:p>
    <w:p>
      <w:pPr>
        <w:pStyle w:val="Normal"/>
        <w:bidi w:val="0"/>
        <w:spacing w:lineRule="auto" w:line="276" w:before="113" w:after="113"/>
        <w:ind w:left="0" w:right="0" w:firstLine="567"/>
        <w:jc w:val="both"/>
        <w:rPr/>
      </w:pPr>
      <w:r>
        <w:rPr>
          <w:rFonts w:cs="Arial" w:ascii="Arial" w:hAnsi="Arial"/>
          <w:sz w:val="22"/>
          <w:szCs w:val="22"/>
        </w:rPr>
        <w:t>Qualquer alteração que se fizer necessária deverá ser submetida à apreciação da Fiscalização, para a sua devida aprovação ou não.</w:t>
      </w:r>
    </w:p>
    <w:p>
      <w:pPr>
        <w:pStyle w:val="Normal"/>
        <w:bidi w:val="0"/>
        <w:spacing w:lineRule="auto" w:line="276" w:before="113" w:after="113"/>
        <w:ind w:left="0" w:right="0" w:firstLine="567"/>
        <w:jc w:val="both"/>
        <w:rPr/>
      </w:pPr>
      <w:r>
        <w:rPr>
          <w:rFonts w:cs="Arial" w:ascii="Arial" w:hAnsi="Arial"/>
          <w:sz w:val="22"/>
          <w:szCs w:val="22"/>
        </w:rPr>
        <w:t>Todas as instalações, tanto elétrica como telefônica, deverão ser testadas e entregues ao Contratante a contento e em pleno funcionamento, ficando a Contratada responsável pelo pagamento das taxas e demais despesas decorrentes de sua ligação à respectiva rede pública, devendo ser apresentada a declaração de cada concessionária de que cada entrada foi vistoriada e que se encontra de acordo com as normas locais.</w:t>
      </w:r>
    </w:p>
    <w:p>
      <w:pPr>
        <w:pStyle w:val="Normal"/>
        <w:bidi w:val="0"/>
        <w:spacing w:lineRule="auto" w:line="276" w:before="113" w:after="113"/>
        <w:ind w:left="0" w:right="0" w:firstLine="567"/>
        <w:jc w:val="both"/>
        <w:rPr/>
      </w:pPr>
      <w:r>
        <w:rPr>
          <w:rFonts w:cs="Arial" w:ascii="Arial" w:hAnsi="Arial"/>
          <w:sz w:val="22"/>
          <w:szCs w:val="22"/>
        </w:rPr>
        <w:t>Todos os aparelhos de iluminação, interruptores e tomadas deverão ser aterrados, em obediência à Lei Federal nº. 11.337, de 26 de julho de 2006, que disciplina a obrigatoriedade do sistema de aterramento nas instalações elétricas das edificações, mesmo aquelas de pequeno porte, com a utilização de um condutor - terra em cada aparelho elétrico.</w:t>
      </w:r>
    </w:p>
    <w:p>
      <w:pPr>
        <w:pStyle w:val="Normal"/>
        <w:bidi w:val="0"/>
        <w:spacing w:lineRule="auto" w:line="276" w:before="113" w:after="113"/>
        <w:ind w:left="0" w:right="0" w:firstLine="567"/>
        <w:jc w:val="both"/>
        <w:rPr>
          <w:rFonts w:ascii="Arial" w:hAnsi="Arial" w:cs="Arial"/>
          <w:sz w:val="22"/>
          <w:szCs w:val="22"/>
        </w:rPr>
      </w:pPr>
      <w:r>
        <w:rPr/>
      </w:r>
    </w:p>
    <w:p>
      <w:pPr>
        <w:pStyle w:val="Normal"/>
        <w:bidi w:val="0"/>
        <w:spacing w:lineRule="auto" w:line="276" w:before="113" w:after="113"/>
        <w:ind w:left="0" w:right="0" w:firstLine="567"/>
        <w:jc w:val="left"/>
        <w:rPr/>
      </w:pPr>
      <w:r>
        <w:rPr>
          <w:rFonts w:cs="Arial" w:ascii="Arial" w:hAnsi="Arial"/>
          <w:b/>
          <w:sz w:val="22"/>
          <w:szCs w:val="22"/>
        </w:rPr>
        <w:t>6</w:t>
      </w:r>
      <w:r>
        <w:rPr>
          <w:rFonts w:cs="Arial" w:ascii="Arial" w:hAnsi="Arial"/>
          <w:b/>
          <w:sz w:val="22"/>
          <w:szCs w:val="22"/>
        </w:rPr>
        <w:t xml:space="preserve"> INSTALAÇÕES HIDRÁULICAS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 tubulação prevista no projeto hidráulico alimentará, por gravidade, todos os pontos de uso efetivo da edificação. Os dutos condutores de água fria, assim como suas conexões, serão de material fabricado em PVC soldável (classe marrom), de marca reconhecida, com bitolas compatíveis com o estabelecido no próprio projeto.</w:t>
      </w:r>
    </w:p>
    <w:p>
      <w:pPr>
        <w:pStyle w:val="Norma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O abastecimento de água potável se dará de forma independente, mediante cavalete próprio de entrada da água com medidor, segundo padrões da concessionária local, e atenderá toda a demanda necessária prevista no projeto.</w:t>
      </w:r>
    </w:p>
    <w:p>
      <w:pPr>
        <w:pStyle w:val="Normal"/>
        <w:bidi w:val="0"/>
        <w:spacing w:lineRule="auto" w:line="276" w:before="113" w:after="113"/>
        <w:ind w:left="0" w:right="0" w:firstLine="567"/>
        <w:jc w:val="both"/>
        <w:rPr/>
      </w:pPr>
      <w:r>
        <w:rPr>
          <w:rFonts w:cs="Arial" w:ascii="Arial" w:hAnsi="Arial"/>
          <w:sz w:val="22"/>
          <w:szCs w:val="22"/>
        </w:rPr>
        <w:t>O sistema de alimentação utilizado será o indireto, ou seja, a partir do cavalete com medidor, o líquido potável fluirá até os reservatórios elevados, constituídos por material de polietileno com capacidade de 2000 litros e estacionados sobre estrado de madeira reforçado.</w:t>
      </w:r>
    </w:p>
    <w:p>
      <w:pPr>
        <w:pStyle w:val="Normal"/>
        <w:bidi w:val="0"/>
        <w:spacing w:lineRule="auto" w:line="276" w:before="113" w:after="113"/>
        <w:ind w:left="0" w:right="0" w:firstLine="567"/>
        <w:jc w:val="both"/>
        <w:rPr/>
      </w:pPr>
      <w:r>
        <w:rPr>
          <w:rFonts w:cs="Arial" w:ascii="Arial" w:hAnsi="Arial"/>
          <w:sz w:val="22"/>
          <w:szCs w:val="22"/>
        </w:rPr>
        <w:t>A ligação do bloco a ser ampliado será entroncada na alimentação existente conforma projeto hidrossanitário.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7</w:t>
      </w:r>
      <w:r>
        <w:rPr>
          <w:rFonts w:cs="Arial" w:ascii="Arial" w:hAnsi="Arial"/>
          <w:b/>
          <w:sz w:val="22"/>
          <w:szCs w:val="22"/>
        </w:rPr>
        <w:t xml:space="preserve"> LOUÇAS E METAIS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A colocação de louças e metais será executada por profissionais especializados e conhecedores da boa técnica executiva, devendo cada peça ser devidamente colocada na posição indicada </w:t>
      </w:r>
      <w:r>
        <w:rPr>
          <w:rFonts w:cs="Arial" w:ascii="Arial" w:hAnsi="Arial"/>
          <w:sz w:val="22"/>
          <w:szCs w:val="22"/>
        </w:rPr>
        <w:t>pela fiscalização</w:t>
      </w:r>
      <w:r>
        <w:rPr>
          <w:rFonts w:cs="Arial" w:ascii="Arial" w:hAnsi="Arial"/>
          <w:sz w:val="22"/>
          <w:szCs w:val="22"/>
        </w:rPr>
        <w:t xml:space="preserve">. Tão logo instalados, tanto as louças como os metais serão envoltos em papel e fita adesiva a fim de protegê-los de respingos da pintura final. </w:t>
      </w:r>
    </w:p>
    <w:p>
      <w:pPr>
        <w:pStyle w:val="Normal"/>
        <w:bidi w:val="0"/>
        <w:spacing w:lineRule="auto" w:line="276" w:before="113" w:after="113"/>
        <w:ind w:left="0" w:right="0" w:firstLine="567"/>
        <w:jc w:val="both"/>
        <w:rPr/>
      </w:pPr>
      <w:r>
        <w:rPr>
          <w:rFonts w:cs="Arial" w:ascii="Arial" w:hAnsi="Arial"/>
          <w:sz w:val="22"/>
          <w:szCs w:val="22"/>
        </w:rPr>
        <w:t>Os aparelhos e metais sanitários, equipamentos afins, cubas e bancadas, pertences e peças complementares serão fornecidos e instalados pela CONTRATADA, com a devida verificação quanto ao perfeito estado antes de seu assentamento; Devem obedecer às especificações técnicas e orientações de seus fabricantes, além dos desenhos e detalhes do projeto arquitetônico.</w:t>
      </w:r>
    </w:p>
    <w:p>
      <w:pPr>
        <w:pStyle w:val="Normal"/>
        <w:bidi w:val="0"/>
        <w:spacing w:lineRule="auto" w:line="276" w:before="113" w:after="113"/>
        <w:ind w:left="0" w:right="0" w:firstLine="567"/>
        <w:jc w:val="both"/>
        <w:rPr/>
      </w:pPr>
      <w:r>
        <w:rPr>
          <w:rFonts w:ascii="Arial" w:hAnsi="Arial"/>
          <w:sz w:val="22"/>
          <w:szCs w:val="22"/>
        </w:rPr>
        <w:t xml:space="preserve">Os vasos sanitários serão com caixa acoplada, na cor branca, possuidores de sifão interno, fixados com parafusos de metal cromado tipo castelo, vedação no pé do vaso com bolsa de borracha, cromado, tubo de ligação cromado flexível para entrada d'água da parede ao vaso. Estes deverão ser acompanhados de assento em polipropileno rígido da mesma cor da louça sanitária. </w:t>
      </w:r>
    </w:p>
    <w:p>
      <w:pPr>
        <w:pStyle w:val="Normal"/>
        <w:bidi w:val="0"/>
        <w:spacing w:lineRule="auto" w:line="276" w:before="113" w:after="113"/>
        <w:ind w:left="0" w:right="0" w:firstLine="567"/>
        <w:jc w:val="both"/>
        <w:rPr/>
      </w:pPr>
      <w:r>
        <w:rPr>
          <w:rFonts w:cs="Arial" w:ascii="Arial" w:hAnsi="Arial"/>
          <w:sz w:val="22"/>
          <w:szCs w:val="22"/>
        </w:rPr>
        <w:t>Nos banheiros, serão instaladas cubas de embutir redondas em louça na cor branco gelo em tampos de granito Andorinha com reforço de grampos de aço, aplicando-se massa plástica base poliéster de enchimento, com auxílio de uma espátula. O conjunto não deve ser transportado antes da secagem completa.</w:t>
      </w:r>
    </w:p>
    <w:p>
      <w:pPr>
        <w:pStyle w:val="Normal"/>
        <w:numPr>
          <w:ilvl w:val="0"/>
          <w:numId w:val="0"/>
        </w:numPr>
        <w:bidi w:val="0"/>
        <w:spacing w:lineRule="auto" w:line="276" w:before="113" w:after="113"/>
        <w:ind w:left="0" w:right="0" w:firstLine="567"/>
        <w:jc w:val="center"/>
        <w:rPr/>
      </w:pPr>
      <w:r>
        <w:rPr/>
      </w:r>
    </w:p>
    <w:p>
      <w:pPr>
        <w:pStyle w:val="Normal"/>
        <w:bidi w:val="0"/>
        <w:spacing w:lineRule="auto" w:line="276" w:before="113" w:after="113"/>
        <w:ind w:left="0" w:right="0" w:firstLine="567"/>
        <w:jc w:val="left"/>
        <w:rPr/>
      </w:pPr>
      <w:r>
        <w:rPr>
          <w:rStyle w:val="CharacterStyle2"/>
          <w:rFonts w:cs="Arial" w:ascii="Arial" w:hAnsi="Arial"/>
          <w:b/>
          <w:i w:val="false"/>
          <w:iCs w:val="false"/>
          <w:spacing w:val="2"/>
        </w:rPr>
        <w:t>8</w:t>
      </w:r>
      <w:r>
        <w:rPr>
          <w:rStyle w:val="CharacterStyle2"/>
          <w:rFonts w:cs="Arial" w:ascii="Arial" w:hAnsi="Arial"/>
          <w:b/>
          <w:i w:val="false"/>
          <w:iCs w:val="false"/>
          <w:spacing w:val="2"/>
        </w:rPr>
        <w:t xml:space="preserve"> ESQUADRIAS</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
    </w:p>
    <w:p>
      <w:pPr>
        <w:pStyle w:val="Normal"/>
        <w:bidi w:val="0"/>
        <w:spacing w:lineRule="auto" w:line="276" w:before="113" w:after="113"/>
        <w:ind w:left="0" w:right="0" w:firstLine="567"/>
        <w:jc w:val="both"/>
        <w:rPr/>
      </w:pPr>
      <w:r>
        <w:rPr>
          <w:rFonts w:cs="Arial" w:ascii="Arial" w:hAnsi="Arial"/>
          <w:sz w:val="22"/>
          <w:szCs w:val="22"/>
        </w:rPr>
        <w:t>Todos os trabalhos de esquadrias deverão ser realizados com a maior perfeição, mediante o emprego de mão de obra especializada, de primeira qualidade.</w:t>
      </w:r>
    </w:p>
    <w:p>
      <w:pPr>
        <w:pStyle w:val="Normal"/>
        <w:bidi w:val="0"/>
        <w:spacing w:lineRule="auto" w:line="276" w:before="113" w:after="113"/>
        <w:ind w:left="0" w:right="0" w:firstLine="567"/>
        <w:jc w:val="both"/>
        <w:rPr/>
      </w:pPr>
      <w:r>
        <w:rPr>
          <w:rFonts w:cs="Arial" w:ascii="Arial" w:hAnsi="Arial"/>
          <w:sz w:val="22"/>
          <w:szCs w:val="22"/>
        </w:rPr>
        <w:t>O material a empregar deverá ser, limpo, perfeitamente desempenado e sem nenhum defeito de fabricação.</w:t>
      </w:r>
    </w:p>
    <w:p>
      <w:pPr>
        <w:pStyle w:val="Normal"/>
        <w:bidi w:val="0"/>
        <w:spacing w:lineRule="auto" w:line="276" w:before="113" w:after="113"/>
        <w:ind w:left="0" w:right="0" w:firstLine="567"/>
        <w:jc w:val="both"/>
        <w:rPr/>
      </w:pPr>
      <w:r>
        <w:rPr>
          <w:rFonts w:cs="Arial" w:ascii="Arial" w:hAnsi="Arial"/>
          <w:sz w:val="22"/>
          <w:szCs w:val="22"/>
        </w:rPr>
        <w:t xml:space="preserve">Todas as esquadrias </w:t>
      </w:r>
      <w:r>
        <w:rPr>
          <w:rFonts w:cs="Arial" w:ascii="Arial" w:hAnsi="Arial"/>
          <w:sz w:val="22"/>
          <w:szCs w:val="22"/>
        </w:rPr>
        <w:t>a serem remontadas</w:t>
      </w:r>
      <w:r>
        <w:rPr>
          <w:rFonts w:cs="Arial" w:ascii="Arial" w:hAnsi="Arial"/>
          <w:sz w:val="22"/>
          <w:szCs w:val="22"/>
        </w:rPr>
        <w:t xml:space="preserve"> deverão ser chumbados à alvenaria com massa forte e o auxílio de pregos galvanizados, e ainda, parafusados em tacos de madeira previamente chumbados nas paredes. Os furos deverão ser tampados ou vedados com acabamentos na mesma cor da madeira. </w:t>
      </w:r>
    </w:p>
    <w:p>
      <w:pPr>
        <w:pStyle w:val="Normal"/>
        <w:bidi w:val="0"/>
        <w:spacing w:lineRule="auto" w:line="276" w:before="113" w:after="113"/>
        <w:ind w:left="0" w:right="0" w:firstLine="567"/>
        <w:jc w:val="both"/>
        <w:rPr/>
      </w:pPr>
      <w:r>
        <w:rPr>
          <w:rFonts w:cs="Arial" w:ascii="Arial" w:hAnsi="Arial"/>
          <w:sz w:val="22"/>
          <w:szCs w:val="22"/>
        </w:rPr>
        <w:t>As folhas das portas deverão ser colocadas nos marcos com três dobradiças de latão por folha, perfeitamente prumadas e alinhadas após a conclusão dos revestimentos de piso e paredes.</w:t>
      </w:r>
    </w:p>
    <w:p>
      <w:pPr>
        <w:pStyle w:val="Normal"/>
        <w:bidi w:val="0"/>
        <w:spacing w:lineRule="auto" w:line="276" w:before="113" w:after="113"/>
        <w:ind w:left="0" w:right="0" w:firstLine="567"/>
        <w:jc w:val="both"/>
        <w:rPr/>
      </w:pPr>
      <w:r>
        <w:rPr>
          <w:rFonts w:cs="Arial" w:ascii="Arial" w:hAnsi="Arial"/>
          <w:sz w:val="22"/>
          <w:szCs w:val="22"/>
        </w:rPr>
        <w:t>Os contramarcos de alumínio deverão ser solidamente fixados a alvenaria, com argamassa, a qual deverá ser firmemente socada.</w:t>
      </w:r>
    </w:p>
    <w:p>
      <w:pPr>
        <w:pStyle w:val="Normal"/>
        <w:bidi w:val="0"/>
        <w:spacing w:lineRule="auto" w:line="276" w:before="113" w:after="113"/>
        <w:ind w:left="0" w:right="0"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9</w:t>
      </w:r>
      <w:r>
        <w:rPr>
          <w:rFonts w:cs="Arial" w:ascii="Arial" w:hAnsi="Arial"/>
          <w:b/>
          <w:sz w:val="22"/>
          <w:szCs w:val="22"/>
        </w:rPr>
        <w:t xml:space="preserve"> SERVIÇOS FINAIS</w:t>
      </w:r>
    </w:p>
    <w:p>
      <w:pPr>
        <w:pStyle w:val="Normal"/>
        <w:bidi w:val="0"/>
        <w:spacing w:lineRule="auto" w:line="276" w:before="113" w:after="113"/>
        <w:ind w:left="0" w:right="0" w:firstLine="567"/>
        <w:jc w:val="left"/>
        <w:rPr>
          <w:rFonts w:ascii="Arial" w:hAnsi="Arial" w:cs="Arial"/>
          <w:sz w:val="22"/>
          <w:szCs w:val="22"/>
        </w:rPr>
      </w:pPr>
      <w:r>
        <w:rPr/>
      </w:r>
    </w:p>
    <w:p>
      <w:pPr>
        <w:pStyle w:val="Normal"/>
        <w:bidi w:val="0"/>
        <w:spacing w:lineRule="auto" w:line="276" w:before="113" w:after="113"/>
        <w:ind w:left="0" w:right="0"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Será removido todo o entulho do terreno, sendo cuidadosamente limpos e varridos os acessos;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As superfícies de madeira, quando for o caso, serão lustradas, envernizadas ou enceradas em definitivo;</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As pavimentações, destinadas a polimento e lustração, serão polidas em definitivo e lustradas.</w:t>
      </w:r>
    </w:p>
    <w:p>
      <w:pPr>
        <w:pStyle w:val="Normal"/>
        <w:bidi w:val="0"/>
        <w:spacing w:lineRule="auto" w:line="276" w:before="113" w:after="113"/>
        <w:ind w:left="0" w:right="0"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480" w:before="113" w:after="113"/>
        <w:ind w:left="0" w:right="0" w:firstLine="567"/>
        <w:jc w:val="both"/>
        <w:rPr/>
      </w:pPr>
      <w:r>
        <w:rPr>
          <w:rFonts w:cs="Arial" w:ascii="Arial" w:hAnsi="Arial"/>
          <w:sz w:val="22"/>
          <w:szCs w:val="22"/>
        </w:rPr>
        <w:t>Na verificação final, serão obedecidas as seguintes normas da ABNT:</w:t>
      </w:r>
    </w:p>
    <w:p>
      <w:pPr>
        <w:pStyle w:val="Normal"/>
        <w:numPr>
          <w:ilvl w:val="0"/>
          <w:numId w:val="4"/>
        </w:numPr>
        <w:bidi w:val="0"/>
        <w:spacing w:lineRule="auto" w:line="276" w:before="113" w:after="113"/>
        <w:jc w:val="both"/>
        <w:rPr/>
      </w:pPr>
      <w:r>
        <w:rPr>
          <w:rFonts w:cs="Arial" w:ascii="Arial" w:hAnsi="Arial"/>
          <w:sz w:val="22"/>
          <w:szCs w:val="22"/>
        </w:rPr>
        <w:t>NB-829/75</w:t>
      </w:r>
      <w:r>
        <w:rPr>
          <w:rFonts w:cs="Arial" w:ascii="Arial" w:hAnsi="Arial"/>
          <w:sz w:val="22"/>
          <w:szCs w:val="22"/>
        </w:rPr>
        <w:t xml:space="preserve"> – </w:t>
      </w:r>
      <w:r>
        <w:rPr>
          <w:rFonts w:cs="Arial" w:ascii="Arial" w:hAnsi="Arial"/>
          <w:sz w:val="22"/>
          <w:szCs w:val="22"/>
        </w:rPr>
        <w:t>Recebimento de Instalações Prediais de Água Fria (NBR 5651).</w:t>
      </w:r>
    </w:p>
    <w:p>
      <w:pPr>
        <w:pStyle w:val="Normal"/>
        <w:numPr>
          <w:ilvl w:val="0"/>
          <w:numId w:val="4"/>
        </w:numPr>
        <w:bidi w:val="0"/>
        <w:spacing w:lineRule="auto" w:line="276" w:before="113" w:after="113"/>
        <w:jc w:val="both"/>
        <w:rPr/>
      </w:pPr>
      <w:r>
        <w:rPr>
          <w:rFonts w:cs="Arial" w:ascii="Arial" w:hAnsi="Arial"/>
          <w:sz w:val="22"/>
          <w:szCs w:val="22"/>
        </w:rPr>
        <w:t>NB-19/83</w:t>
      </w:r>
      <w:r>
        <w:rPr>
          <w:rFonts w:cs="Arial" w:ascii="Arial" w:hAnsi="Arial"/>
          <w:sz w:val="22"/>
          <w:szCs w:val="22"/>
        </w:rPr>
        <w:t xml:space="preserve"> – </w:t>
      </w:r>
      <w:r>
        <w:rPr>
          <w:rFonts w:cs="Arial" w:ascii="Arial" w:hAnsi="Arial"/>
          <w:sz w:val="22"/>
          <w:szCs w:val="22"/>
        </w:rPr>
        <w:t>Instalações Prediais de Esgotos Sanitários (NBR 8160), Inspeções e Ensaios.</w:t>
      </w:r>
    </w:p>
    <w:p>
      <w:pPr>
        <w:pStyle w:val="Normal"/>
        <w:numPr>
          <w:ilvl w:val="0"/>
          <w:numId w:val="4"/>
        </w:numPr>
        <w:bidi w:val="0"/>
        <w:spacing w:lineRule="auto" w:line="276" w:before="113" w:after="113"/>
        <w:jc w:val="both"/>
        <w:rPr/>
      </w:pPr>
      <w:r>
        <w:rPr>
          <w:rFonts w:cs="Arial" w:ascii="Arial" w:hAnsi="Arial"/>
          <w:sz w:val="22"/>
          <w:szCs w:val="22"/>
        </w:rPr>
        <w:t>NB-597/77</w:t>
      </w:r>
      <w:r>
        <w:rPr>
          <w:rFonts w:cs="Arial" w:ascii="Arial" w:hAnsi="Arial"/>
          <w:sz w:val="22"/>
          <w:szCs w:val="22"/>
        </w:rPr>
        <w:t xml:space="preserve"> – </w:t>
      </w:r>
      <w:r>
        <w:rPr>
          <w:rFonts w:cs="Arial" w:ascii="Arial" w:hAnsi="Arial"/>
          <w:sz w:val="22"/>
          <w:szCs w:val="22"/>
        </w:rPr>
        <w:t>Recebimento de Serviços de Obras de Engenharia e Arquitetura (NBR 5675).</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pPr>
      <w:r>
        <w:rPr>
          <w:rFonts w:cs="Arial" w:ascii="Arial" w:hAnsi="Arial"/>
          <w:b/>
          <w:sz w:val="22"/>
          <w:szCs w:val="22"/>
        </w:rPr>
        <w:t>Virginia Victória Crema Mongelos</w:t>
      </w:r>
    </w:p>
    <w:p>
      <w:pPr>
        <w:pStyle w:val="Normal"/>
        <w:bidi w:val="0"/>
        <w:spacing w:lineRule="auto" w:line="240" w:before="113" w:after="113"/>
        <w:ind w:left="0" w:right="0" w:firstLine="567"/>
        <w:jc w:val="center"/>
        <w:rPr>
          <w:sz w:val="21"/>
          <w:szCs w:val="21"/>
        </w:rPr>
      </w:pPr>
      <w:r>
        <w:rPr>
          <w:rFonts w:cs="Arial" w:ascii="Arial" w:hAnsi="Arial"/>
          <w:sz w:val="21"/>
          <w:szCs w:val="21"/>
        </w:rPr>
        <w:t xml:space="preserve">Gerente de </w:t>
      </w:r>
      <w:r>
        <w:rPr>
          <w:rFonts w:cs="Arial" w:ascii="Arial" w:hAnsi="Arial"/>
          <w:sz w:val="21"/>
          <w:szCs w:val="21"/>
        </w:rPr>
        <w:t>Obras</w:t>
      </w:r>
    </w:p>
    <w:p>
      <w:pPr>
        <w:pStyle w:val="Normal"/>
        <w:bidi w:val="0"/>
        <w:spacing w:lineRule="auto" w:line="240" w:before="113" w:after="113"/>
        <w:ind w:left="0" w:right="0" w:firstLine="567"/>
        <w:jc w:val="center"/>
        <w:rPr>
          <w:sz w:val="21"/>
          <w:szCs w:val="21"/>
        </w:rPr>
      </w:pPr>
      <w:r>
        <w:rPr>
          <w:rFonts w:cs="Arial" w:ascii="Arial" w:hAnsi="Arial"/>
          <w:sz w:val="21"/>
          <w:szCs w:val="21"/>
        </w:rPr>
        <w:t>Matrícula</w:t>
      </w:r>
      <w:r>
        <w:rPr>
          <w:rFonts w:cs="Arial" w:ascii="Arial" w:hAnsi="Arial"/>
          <w:sz w:val="21"/>
          <w:szCs w:val="21"/>
        </w:rPr>
        <w:t xml:space="preserve">: </w:t>
      </w:r>
      <w:r>
        <w:rPr>
          <w:rFonts w:cs="Arial" w:ascii="Arial" w:hAnsi="Arial"/>
          <w:sz w:val="21"/>
          <w:szCs w:val="21"/>
        </w:rPr>
        <w:t>2</w:t>
      </w:r>
      <w:r>
        <w:rPr>
          <w:rFonts w:cs="Arial" w:ascii="Arial" w:hAnsi="Arial"/>
          <w:sz w:val="21"/>
          <w:szCs w:val="21"/>
        </w:rPr>
        <w:t>.</w:t>
      </w:r>
      <w:r>
        <w:rPr>
          <w:rFonts w:cs="Arial" w:ascii="Arial" w:hAnsi="Arial"/>
          <w:sz w:val="21"/>
          <w:szCs w:val="21"/>
        </w:rPr>
        <w:t>154</w:t>
      </w:r>
      <w:r>
        <w:rPr>
          <w:rFonts w:cs="Arial" w:ascii="Arial" w:hAnsi="Arial"/>
          <w:sz w:val="21"/>
          <w:szCs w:val="21"/>
        </w:rPr>
        <w:t>.</w:t>
      </w:r>
      <w:r>
        <w:rPr>
          <w:rFonts w:cs="Arial" w:ascii="Arial" w:hAnsi="Arial"/>
          <w:sz w:val="21"/>
          <w:szCs w:val="21"/>
        </w:rPr>
        <w:t>402</w:t>
      </w:r>
    </w:p>
    <w:sectPr>
      <w:headerReference w:type="default" r:id="rId2"/>
      <w:footerReference w:type="default" r:id="rId3"/>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35">
              <wp:simplePos x="0" y="0"/>
              <wp:positionH relativeFrom="column">
                <wp:posOffset>27305</wp:posOffset>
              </wp:positionH>
              <wp:positionV relativeFrom="margin">
                <wp:posOffset>8340725</wp:posOffset>
              </wp:positionV>
              <wp:extent cx="578485" cy="332105"/>
              <wp:effectExtent l="0" t="0" r="0" b="0"/>
              <wp:wrapNone/>
              <wp:docPr id="2" name="Figura1"/>
              <a:graphic xmlns:a="http://schemas.openxmlformats.org/drawingml/2006/main">
                <a:graphicData uri="http://schemas.microsoft.com/office/word/2010/wordprocessingShape">
                  <wps:wsp>
                    <wps:cNvSpPr/>
                    <wps:spPr>
                      <a:xfrm>
                        <a:off x="0" y="0"/>
                        <a:ext cx="577800" cy="33156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45pt;height:26.05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18">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411" y="0"/>
              <wp:lineTo x="-411" y="20476"/>
              <wp:lineTo x="21600" y="20476"/>
              <wp:lineTo x="21600" y="0"/>
              <wp:lineTo x="-411" y="0"/>
            </wp:wrapPolygon>
          </wp:wrapTight>
          <wp:docPr id="1"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character" w:styleId="ListLabel222">
    <w:name w:val="ListLabel 222"/>
    <w:qFormat/>
    <w:rPr>
      <w:rFonts w:cs="Symbol"/>
      <w:sz w:val="22"/>
    </w:rPr>
  </w:style>
  <w:style w:type="character" w:styleId="ListLabel223">
    <w:name w:val="ListLabel 223"/>
    <w:qFormat/>
    <w:rPr>
      <w:rFonts w:cs="Symbol"/>
      <w:sz w:val="22"/>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sz w:val="22"/>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Arial" w:hAnsi="Arial" w:cs="OpenSymbol"/>
      <w:sz w:val="22"/>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ascii="Arial" w:hAnsi="Arial" w:cs="Symbol"/>
      <w:sz w:val="22"/>
    </w:rPr>
  </w:style>
  <w:style w:type="character" w:styleId="ListLabel251">
    <w:name w:val="ListLabel 251"/>
    <w:qFormat/>
    <w:rPr>
      <w:rFonts w:cs="Wingdings"/>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cs="Wingdings"/>
    </w:rPr>
  </w:style>
  <w:style w:type="character" w:styleId="ListLabel258">
    <w:name w:val="ListLabel 258"/>
    <w:qFormat/>
    <w:rPr>
      <w:rFonts w:cs="Wingdings"/>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1323</TotalTime>
  <Application>LibreOffice/5.2.4.2$Windows_x86 LibreOffice_project/3d5603e1122f0f102b62521720ab13a38a4e0eb0</Application>
  <Pages>17</Pages>
  <Words>5846</Words>
  <Characters>33905</Characters>
  <CharactersWithSpaces>39596</CharactersWithSpaces>
  <Paragraphs>232</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2017-10-06T10:02:30Z</cp:lastPrinted>
  <dcterms:modified xsi:type="dcterms:W3CDTF">2017-12-20T18:41:25Z</dcterms:modified>
  <cp:revision>13</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